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February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1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5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2020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171" w:type="dxa"/>
        <w:tblCellMar>
          <w:top w:w="0" w:type="dxa"/>
          <w:left w:w="0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ind w:left="0" w:hanging="0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3760</w:t>
            </w:r>
          </w:p>
        </w:tc>
      </w:tr>
    </w:tbl>
    <w:p>
      <w:pPr>
        <w:pStyle w:val="TextBody"/>
        <w:numPr>
          <w:ilvl w:val="0"/>
          <w:numId w:val="0"/>
        </w:numPr>
        <w:shd w:val="clear" w:color="auto" w:fill="FFFFFF"/>
        <w:tabs>
          <w:tab w:val="clear" w:pos="720"/>
          <w:tab w:val="left" w:pos="0" w:leader="none"/>
        </w:tabs>
        <w:spacing w:before="0" w:after="0"/>
        <w:ind w:left="0"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Need to find a candidate for the Air Academy. Age 16,17,18 that can go through our vetting process.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0" w:leader="none"/>
        </w:tabs>
        <w:spacing w:before="0" w:after="0"/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No candidate for the Air Academy – reserved spot released.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20" w:hanging="0"/>
        <w:jc w:val="left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May 16th established for our spring fly-in 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The B-25 Berlin Express is requested for a tour stop here in Myrtle Beach. 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Sun-n-fun is 3/31 through 4/5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EAA craftsmanship applied to the B-17, Tri-Motor, and the newly restored B-25. 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Cliff just did his final engine run before completing his Sonex front end. Replacing the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Cleco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's and applying the corrosion prevention (fog application, I think AC-50 was what Carl suggested it might be). 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/>
      </w:r>
    </w:p>
    <w:p>
      <w:pPr>
        <w:pStyle w:val="TextBody"/>
        <w:numPr>
          <w:ilvl w:val="0"/>
          <w:numId w:val="0"/>
        </w:numPr>
        <w:spacing w:before="0" w:after="0"/>
        <w:ind w:left="707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before="0" w:after="283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Tech Talk: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AD for Lycoming IO-360 engines using Superior Airpark manufactured Crank shaft. problem stems from a vendor Superior used for the manufacturing. discussed that these kinds of problems seem to always stem from a vendor. This same kind of thing happened with Lycoming's rod bolts a few years ago. Similar cam bearings. 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Discussed how OEMs destroy parts that don't meet full use spec (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serviceable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but not going into a factory overhaul). Millions of dollars of parts that GA folks could be using - gone.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Drone / model airplane proposed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legislation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Rough field study report from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Pilatus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PC-24 pr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o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ving this light jet can operate on grass and other rough fields.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Discussed the FARs for Ultralights and light sport. We went through these in the form of a Q&amp;A like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jeopardy.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  </w:t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My humble apologies to anyone who’s name I’ve spelled incorrectly.</w:t>
      </w:r>
    </w:p>
    <w:tbl>
      <w:tblPr>
        <w:tblW w:w="8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 xml:space="preserve">Larry Howell, President 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Ron Heidebrink, 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nnis Scott, Webmaster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Helvetica Neue;Arial;sans" w:hAnsi="Helvetica Neue;Arial;sans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Susan Coffeejelly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Al Beck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Helvetica Neue;Arial;sans" w:hAnsi="Helvetica Neue;Arial;sans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Helvetica Neue;Arial;sans" w:hAnsi="Helvetica Neue;Arial;sans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Dan Price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Helvetica Neue;Arial;sans" w:hAnsi="Helvetica Neue;Arial;sans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Helvetica Neue;Arial;sans" w:hAnsi="Helvetica Neue;Arial;sans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Jim Kelly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Helvetica Neue;Arial;sans" w:hAnsi="Helvetica Neue;Arial;sans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Helvetica Neue;Arial;sans" w:hAnsi="Helvetica Neue;Arial;sans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Jim Murphy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Application>LibreOffice/6.4.3.2$MacOSX_X86_64 LibreOffice_project/747b5d0ebf89f41c860ec2a39efd7cb15b54f2d8</Application>
  <Pages>2</Pages>
  <Words>313</Words>
  <Characters>1580</Characters>
  <CharactersWithSpaces>1865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2020-05-15T21:37:00Z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